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IOTA DEI Committee November Meeting Agenda/Minutes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Date: 07/11/2023               Time: 7:00pm EST- 8:00 PM EST               Location: Virtual (Zoom)</w:t>
      </w:r>
    </w:p>
    <w:p w:rsidR="00000000" w:rsidDel="00000000" w:rsidP="00000000" w:rsidRDefault="00000000" w:rsidRPr="00000000" w14:paraId="00000006">
      <w:pPr>
        <w:jc w:val="center"/>
        <w:rPr>
          <w:color w:val="0000ff"/>
        </w:rPr>
      </w:pPr>
      <w:r w:rsidDel="00000000" w:rsidR="00000000" w:rsidRPr="00000000">
        <w:rPr>
          <w:rtl w:val="0"/>
        </w:rPr>
        <w:t xml:space="preserve">Attendance: Ann Randall, Katherine McGinley, Jessica 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AGENDA &amp; MINUTES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June Meeting Minutes &amp; To Do Items Status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Sip and Share at Hotel Tango 6/21 6-8p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Juneteenth post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Pride post on anniversary of Stonewall 6/27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Additional posts from individuals with lived experiences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Social media influencers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WFYI, IndyStar, NPR articles 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Set up alerts for when topics are posted by these sites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July Items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AOTA’s updated DEI plan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https://www.aota.org/publications/ot-practice/ot-practice-issues/2023/dei-aota-dei-committee-strategic-plan-update?utm_source=OT%20Practice%20June%202023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 implications for our committee, state, and national DEI efforts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Action 1.2, 2.3: utilize list in future as scaffolding for trainings that may be used for licensure; assist workplaces and academic institutions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Action 2.1: Monitor for checklist publication, disseminate to academic institutions in the state as appropriate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Action 1.3: volunteer leadership barriers survey, could be helpful but also most leadership are not super representative of marginalized groups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Action 3.1: current future idea for INOTA DEI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Action 3.2: discussed possible mentorship program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color w:val="3c78d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c78d8"/>
          <w:rtl w:val="0"/>
        </w:rPr>
        <w:t xml:space="preserve">Action 1.2: work with IOTA board to incorporate DEI training for new leadership/volunteers → add to board report for Saturday’s meeting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Action 2.3: potentially use capstone student in future to assist with building research and trainings for CEU requirements related to licensure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Action 3.2: partner with mentorship program to provide DEI related mentorship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Action items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Coordinate with academic institutions to better understand current, desired, supports, and barriers to DEI implementation 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Academic faculty survey and students (if possible)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Jessica email academic SIS chairs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Jessica create survey question google doc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color w:val="3c78d8"/>
          <w:u w:val="none"/>
        </w:rPr>
      </w:pPr>
      <w:r w:rsidDel="00000000" w:rsidR="00000000" w:rsidRPr="00000000">
        <w:rPr>
          <w:color w:val="3c78d8"/>
          <w:rtl w:val="0"/>
        </w:rPr>
        <w:t xml:space="preserve">Jessica create google drive folder for sharing of DEI related research articles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supreme court opinion on Students for fair admission vs. Harvard and vs. UNC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Release information once more solid plan of how we can best support academic institutions following surveys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 significant dates on annual events calendar → any we want to add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Begin planning for Hispanic Heritage Month (September 15-October 15)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IOTA Board Meeting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7/15 10-2pm EST via zoom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Pain Management webinar 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8/26 12p-1p via zoom with Adam Hirsch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Jessica to reach out about specific populations being covered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color w:val="6d9eeb"/>
          <w:u w:val="none"/>
        </w:rPr>
      </w:pPr>
      <w:r w:rsidDel="00000000" w:rsidR="00000000" w:rsidRPr="00000000">
        <w:rPr>
          <w:color w:val="6d9eeb"/>
          <w:rtl w:val="0"/>
        </w:rPr>
        <w:t xml:space="preserve">Jessica to clarify eastern standard or eastern daylight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CREED event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Date for newsletter vs. contributing to IOTA monthly newsletter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Indiana Black and Minority Health Fair- possible for July 2024?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https://www.inbmhf.com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Jessica to sign up for black expo mailing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Stickers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see the able not the label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color w:val="6d9eeb"/>
        </w:rPr>
      </w:pPr>
      <w:r w:rsidDel="00000000" w:rsidR="00000000" w:rsidRPr="00000000">
        <w:rPr>
          <w:color w:val="6d9eeb"/>
          <w:rtl w:val="0"/>
        </w:rPr>
        <w:t xml:space="preserve">Not preferred language in disability community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color w:val="6d9eeb"/>
          <w:u w:val="none"/>
        </w:rPr>
      </w:pPr>
      <w:r w:rsidDel="00000000" w:rsidR="00000000" w:rsidRPr="00000000">
        <w:rPr>
          <w:color w:val="6d9eeb"/>
          <w:rtl w:val="0"/>
        </w:rPr>
        <w:t xml:space="preserve">Find an alternative or just keep other two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healthcare is a human right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equity not equality (</w:t>
      </w:r>
      <w:r w:rsidDel="00000000" w:rsidR="00000000" w:rsidRPr="00000000">
        <w:rPr>
          <w:i w:val="1"/>
          <w:rtl w:val="0"/>
        </w:rPr>
        <w:t xml:space="preserve">Sell for cost TBD; 20 of each for total ~120.00)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request funds at July 15 board meeting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date for August meeting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ota.org/publications/ot-practice/ot-practice-issues/2023/dei-aota-dei-committee-strategic-plan-update?utm_source=OT%20Practice%20June%202023" TargetMode="External"/><Relationship Id="rId7" Type="http://schemas.openxmlformats.org/officeDocument/2006/relationships/hyperlink" Target="https://www.inbmh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